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2" w:rsidRDefault="004228B2" w:rsidP="004228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ΜΑΘΗΜΑ: ΚΟΙΝΩΝΙΟΛΟΓΙΑ Γ΄ΛΥΚΕΙΟΥ (ΚΑΤΕΥΘΥΝΣΗΣ)</w:t>
      </w:r>
    </w:p>
    <w:p w:rsidR="004228B2" w:rsidRDefault="004228B2" w:rsidP="004228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ΔΙΔΑΣΚΟΥΣΑ ΚΑΘΗΓΗΤΡΙΑ:ΚΑΡΛΟΥ ΑΙΚΑΤΕΡΙΝΗ (ΠΕ10)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ΚΕΦΑΛΑΙΟ 1. ΕΙΣΑΓΩΓΗ ΣΤΗΝ ΚΟΙΝΩΝΙΟΛΟΓΙΑ</w:t>
      </w:r>
    </w:p>
    <w:p w:rsidR="004228B2" w:rsidRDefault="004228B2" w:rsidP="004228B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Η γέννηση της Κοινωνιολογίας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1.1.1 Αντικείμενο της Κοινωνιολογίας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1.2.2 Οι θεμελιωτές της Κοινωνιολογίας</w:t>
      </w:r>
    </w:p>
    <w:p w:rsidR="004228B2" w:rsidRDefault="004228B2" w:rsidP="00422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Καρλ Μαρξ (</w:t>
      </w:r>
      <w:r>
        <w:rPr>
          <w:rFonts w:ascii="Times New Roman" w:eastAsia="MyriadPro-Regular" w:hAnsi="Times New Roman"/>
          <w:sz w:val="24"/>
          <w:szCs w:val="24"/>
          <w:lang w:val="en-US" w:eastAsia="el-GR"/>
        </w:rPr>
        <w:t>Karl Marx</w:t>
      </w:r>
      <w:r>
        <w:rPr>
          <w:rFonts w:ascii="Times New Roman" w:eastAsia="MyriadPro-Regular" w:hAnsi="Times New Roman"/>
          <w:sz w:val="24"/>
          <w:szCs w:val="24"/>
          <w:lang w:eastAsia="el-GR"/>
        </w:rPr>
        <w:t>)</w:t>
      </w:r>
    </w:p>
    <w:p w:rsidR="004228B2" w:rsidRDefault="004228B2" w:rsidP="00422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Εμίλ Ντυρκέμ (</w:t>
      </w:r>
      <w:r>
        <w:rPr>
          <w:rFonts w:ascii="Times New Roman" w:eastAsia="MyriadPro-Regular" w:hAnsi="Times New Roman"/>
          <w:sz w:val="24"/>
          <w:szCs w:val="24"/>
          <w:lang w:val="en-US" w:eastAsia="el-GR"/>
        </w:rPr>
        <w:t>Emil Durkheim</w:t>
      </w:r>
      <w:r>
        <w:rPr>
          <w:rFonts w:ascii="Times New Roman" w:eastAsia="MyriadPro-Regular" w:hAnsi="Times New Roman"/>
          <w:sz w:val="24"/>
          <w:szCs w:val="24"/>
          <w:lang w:eastAsia="el-GR"/>
        </w:rPr>
        <w:t>)</w:t>
      </w:r>
    </w:p>
    <w:p w:rsidR="004228B2" w:rsidRDefault="004228B2" w:rsidP="004228B2">
      <w:pPr>
        <w:numPr>
          <w:ilvl w:val="0"/>
          <w:numId w:val="2"/>
        </w:num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Μαξ Βέμπερ (</w:t>
      </w:r>
      <w:r>
        <w:rPr>
          <w:rFonts w:ascii="Times New Roman" w:eastAsia="MyriadPro-Regular" w:hAnsi="Times New Roman"/>
          <w:sz w:val="24"/>
          <w:szCs w:val="24"/>
          <w:lang w:val="en-US" w:eastAsia="el-GR"/>
        </w:rPr>
        <w:t>Max Weber</w:t>
      </w:r>
      <w:r>
        <w:rPr>
          <w:rFonts w:ascii="Times New Roman" w:eastAsia="MyriadPro-Regular" w:hAnsi="Times New Roman"/>
          <w:sz w:val="24"/>
          <w:szCs w:val="24"/>
          <w:lang w:eastAsia="el-GR"/>
        </w:rPr>
        <w:t>)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ΚΕΦΑΛΑΙΟ 6. ΕΡΓΑΣΙΑ, ΑΝΕΡΓΙΑ ΚΑΙ ΚΟΙΝΩΝΙΚΕΣ ΑΝΙΣΟΤΗΤΕΣ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6.1. Ο ρόλος της εργασίας στη ζωή των ανθρώπων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6.1.1 Οργάνωση της παραγωγής και μορφές εργασίας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6.1.2 Νέες μορφές απασχόλησης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6.1.3 Μορφές ανεργίας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6.2. Φτώχεια, πλούτος, κοινωνική διαστρωμάτωση και συνέπειες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6.2.1 Κοινωνική διαστρωμάτωση, κοινωνικές ανισότητες.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 6.2.2 Φτώχεια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6.2.3 Συνέπειες ανεργίας, φτώχειας και ανισοτήτων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6.3. Αντιμετώπιση των ανισοτήτων, της φτώχειας και της ανεργίας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ΚΕΦΑΛΑΙΟ 9. ΑΠΟΚΛΙΝΟΥΣΑ ΣΥΜΠΕΡΙΦΟΡΑ: ΠΑΡΑΒΑΤΙΚΟΤΗΤΑ ΚΑΙ ΕΓΚΛΗΜΑΤΙΚΟΤΗΤΑ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9.1. Οι έννοιες της παραβατικότητας και της εγκληματικότητας - Το έγκλημα ως κοινωνικό φαινόμενο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9.2. Θεωρητικές προσεγγίσεις της αποκλίνουσας συμπεριφοράς -Δύο κοινωνιολογικές οπτικές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9.2.1 Θεωρίες της συναίνεσης: ανομία και κοινωνική οικολογία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9.2.2 Θεωρίες της σύγκρουσης για την αποκλίνουσα συμπεριφορά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9.3. Η αντιμετώπιση της παραβατικότητας και της εγκληματικότητας: σωφρονισμός,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κοινωνική επανένταξη και πρόληψη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9.3.2 Πρόληψη της παραβατικότητας-εγκληματικότητας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ΚΕΦΑΛΑΙΟ </w:t>
      </w:r>
      <w:r>
        <w:rPr>
          <w:rFonts w:ascii="Times New Roman" w:hAnsi="Times New Roman"/>
          <w:sz w:val="24"/>
          <w:szCs w:val="24"/>
          <w:lang w:eastAsia="el-GR"/>
        </w:rPr>
        <w:t>10. ΕΤΕΡΟΤΗΤΑ, ΔΙΑΠΟΛΙΤΙΣΜΙΚΕΣ ΚΑΙ ΔΙΑΚΟΙΝΩΝΙΑΚΕΣ ΣΧΕΣΕΙΣ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10.1. Ετερότητα, πολιτισμικές διαφορές και υποκουλτούρες στη σύγχρονη ελληνική κοινωνία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10.1.1 Μετακινήσεις πληθυσμών (μετανάστευση - παλιννόστηση)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10.1.2 Διαφορετικές πολιτισμικές ομάδες και μειονότητες στις σύγχρονες κοινωνίες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10.2. Προκατάληψη και ρατσισμός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 xml:space="preserve">10.2.1 Στερεότυπα, προκατάληψη, ρατσισμός, σοβινισμός 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α. Στερεότυπα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β. Προκατάληψη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γ. Ρατσισμός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δ. Σοβινισμός και εθνικισμός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10.2.2 Τα αίτια και οι συνέπειες της προκατάληψης και του ρατσισμού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α. Κοινωνικά αίτια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β. Οικονομικά αίτια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  <w:r>
        <w:rPr>
          <w:rFonts w:ascii="Times New Roman" w:eastAsia="MyriadPro-Regular" w:hAnsi="Times New Roman"/>
          <w:sz w:val="24"/>
          <w:szCs w:val="24"/>
          <w:lang w:eastAsia="el-GR"/>
        </w:rPr>
        <w:t>γ. Ψυχοδυναμικά αίτια</w:t>
      </w:r>
    </w:p>
    <w:p w:rsidR="004228B2" w:rsidRDefault="004228B2" w:rsidP="004228B2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4228B2" w:rsidRDefault="004228B2" w:rsidP="004228B2">
      <w:pPr>
        <w:spacing w:line="360" w:lineRule="auto"/>
        <w:jc w:val="both"/>
        <w:rPr>
          <w:rFonts w:ascii="Times New Roman" w:eastAsia="MyriadPro-Regular" w:hAnsi="Times New Roman"/>
          <w:sz w:val="24"/>
          <w:szCs w:val="24"/>
          <w:lang w:eastAsia="el-GR"/>
        </w:rPr>
      </w:pP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83B"/>
    <w:multiLevelType w:val="hybridMultilevel"/>
    <w:tmpl w:val="E3FAA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CD4"/>
    <w:multiLevelType w:val="multilevel"/>
    <w:tmpl w:val="53C4FC2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8B2"/>
    <w:rsid w:val="004228B2"/>
    <w:rsid w:val="004F3546"/>
    <w:rsid w:val="00583D46"/>
    <w:rsid w:val="00A241B4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2017-04-28T07:02:00Z</dcterms:created>
  <dcterms:modified xsi:type="dcterms:W3CDTF">2017-04-28T07:02:00Z</dcterms:modified>
</cp:coreProperties>
</file>