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85" w:rsidRDefault="00E55C85" w:rsidP="00E55C85">
      <w:pPr>
        <w:spacing w:after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6</w:t>
      </w:r>
      <w:r>
        <w:rPr>
          <w:rFonts w:asciiTheme="majorHAnsi" w:hAnsiTheme="majorHAnsi"/>
          <w:b/>
          <w:bCs/>
          <w:sz w:val="32"/>
          <w:szCs w:val="32"/>
          <w:vertAlign w:val="superscript"/>
        </w:rPr>
        <w:t>ο</w:t>
      </w:r>
      <w:r>
        <w:rPr>
          <w:rFonts w:asciiTheme="majorHAnsi" w:hAnsiTheme="majorHAnsi"/>
          <w:b/>
          <w:bCs/>
          <w:sz w:val="32"/>
          <w:szCs w:val="32"/>
        </w:rPr>
        <w:t xml:space="preserve"> Γ.Ε.Λ. Καλλιθέας </w:t>
      </w:r>
    </w:p>
    <w:p w:rsidR="00E55C85" w:rsidRDefault="00E55C85" w:rsidP="00E55C85">
      <w:pPr>
        <w:spacing w:after="0"/>
        <w:rPr>
          <w:rFonts w:asciiTheme="majorHAnsi" w:hAnsiTheme="majorHAnsi"/>
          <w:b/>
          <w:bCs/>
          <w:sz w:val="32"/>
        </w:rPr>
      </w:pPr>
    </w:p>
    <w:p w:rsidR="00E55C85" w:rsidRDefault="00E55C85" w:rsidP="00E55C85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bdr w:val="single" w:sz="4" w:space="0" w:color="auto" w:frame="1"/>
        </w:rPr>
      </w:pPr>
      <w:r>
        <w:rPr>
          <w:rFonts w:asciiTheme="majorHAnsi" w:hAnsiTheme="majorHAnsi"/>
          <w:b/>
          <w:bCs/>
          <w:sz w:val="36"/>
          <w:szCs w:val="36"/>
          <w:bdr w:val="single" w:sz="4" w:space="0" w:color="auto" w:frame="1"/>
        </w:rPr>
        <w:t>εξεταστέα ύλη περιόδου Μαΐου- Ιουνίου 2017</w:t>
      </w:r>
    </w:p>
    <w:p w:rsidR="00E55C85" w:rsidRDefault="00E55C85" w:rsidP="00E55C85">
      <w:pPr>
        <w:shd w:val="clear" w:color="auto" w:fill="FFFFFF"/>
        <w:spacing w:after="0" w:line="240" w:lineRule="auto"/>
        <w:ind w:left="284" w:right="142"/>
        <w:jc w:val="both"/>
        <w:rPr>
          <w:rFonts w:asciiTheme="majorHAnsi" w:eastAsia="Calibri" w:hAnsiTheme="majorHAnsi" w:cs="Times New Roman"/>
          <w:b/>
          <w:color w:val="1F497D" w:themeColor="text2"/>
          <w:szCs w:val="28"/>
        </w:rPr>
      </w:pPr>
    </w:p>
    <w:p w:rsidR="00E55C85" w:rsidRDefault="00E55C85" w:rsidP="00E55C85">
      <w:pPr>
        <w:shd w:val="clear" w:color="auto" w:fill="FFFFFF"/>
        <w:spacing w:after="0" w:line="240" w:lineRule="auto"/>
        <w:ind w:left="284" w:right="142"/>
        <w:jc w:val="both"/>
        <w:rPr>
          <w:rFonts w:asciiTheme="majorHAnsi" w:eastAsia="Calibri" w:hAnsiTheme="majorHAnsi" w:cs="Times New Roman"/>
          <w:b/>
          <w:sz w:val="40"/>
          <w:szCs w:val="28"/>
        </w:rPr>
      </w:pPr>
      <w:r>
        <w:rPr>
          <w:rFonts w:asciiTheme="majorHAnsi" w:eastAsia="Calibri" w:hAnsiTheme="majorHAnsi" w:cs="Times New Roman"/>
          <w:b/>
          <w:sz w:val="40"/>
          <w:szCs w:val="28"/>
        </w:rPr>
        <w:t>Γεωλογία και αρχές Διαχείρισης Φυσικών Πόρων</w:t>
      </w:r>
    </w:p>
    <w:p w:rsidR="00E55C85" w:rsidRDefault="00E55C85" w:rsidP="00E55C85">
      <w:pPr>
        <w:shd w:val="clear" w:color="auto" w:fill="FFFFFF"/>
        <w:spacing w:after="0" w:line="240" w:lineRule="auto"/>
        <w:ind w:left="284" w:right="142"/>
        <w:jc w:val="both"/>
        <w:rPr>
          <w:rFonts w:eastAsia="Calibri" w:cstheme="minorHAnsi"/>
          <w:b/>
        </w:rPr>
      </w:pPr>
      <w:r>
        <w:rPr>
          <w:rFonts w:eastAsia="Calibri" w:cstheme="minorHAnsi"/>
        </w:rPr>
        <w:t>Από το σχολικό βιβλίο «</w:t>
      </w:r>
      <w:r>
        <w:rPr>
          <w:rFonts w:eastAsia="Calibri" w:cstheme="minorHAnsi"/>
          <w:b/>
        </w:rPr>
        <w:t>Γεωλογία και αρχές Διαχείρισης Φυσικών Πόρων», έκδοση 2015</w:t>
      </w:r>
    </w:p>
    <w:p w:rsidR="00E55C85" w:rsidRDefault="00E55C85" w:rsidP="00E55C85">
      <w:pPr>
        <w:shd w:val="clear" w:color="auto" w:fill="FFFFFF"/>
        <w:spacing w:after="0" w:line="240" w:lineRule="auto"/>
        <w:ind w:left="284" w:right="142"/>
        <w:jc w:val="both"/>
        <w:rPr>
          <w:rFonts w:eastAsia="Calibri" w:cstheme="minorHAnsi"/>
          <w:b/>
          <w:color w:val="1F497D" w:themeColor="text2"/>
        </w:rPr>
      </w:pPr>
    </w:p>
    <w:p w:rsidR="00E55C85" w:rsidRDefault="00E55C85" w:rsidP="00E55C85">
      <w:pPr>
        <w:tabs>
          <w:tab w:val="left" w:pos="284"/>
        </w:tabs>
        <w:jc w:val="both"/>
        <w:rPr>
          <w:rFonts w:asciiTheme="majorHAnsi" w:hAnsiTheme="majorHAnsi"/>
          <w:i/>
          <w:sz w:val="28"/>
          <w:u w:val="single"/>
        </w:rPr>
      </w:pPr>
      <w:r>
        <w:rPr>
          <w:rFonts w:asciiTheme="majorHAnsi" w:hAnsiTheme="majorHAnsi" w:cs="Arial"/>
          <w:b/>
          <w:sz w:val="28"/>
        </w:rPr>
        <w:t xml:space="preserve">Κεφάλαιο 2: Η Σχέση μας με τη Γη. </w:t>
      </w:r>
      <w:r>
        <w:rPr>
          <w:rFonts w:asciiTheme="majorHAnsi" w:hAnsiTheme="majorHAnsi" w:cs="Arial"/>
          <w:sz w:val="28"/>
        </w:rPr>
        <w:t xml:space="preserve">Παράγραφοι: 2.2, 2.3, 2.4, 2.5, 2.6  </w:t>
      </w:r>
      <w:r>
        <w:rPr>
          <w:rFonts w:asciiTheme="majorHAnsi" w:hAnsiTheme="majorHAnsi"/>
          <w:i/>
          <w:sz w:val="28"/>
        </w:rPr>
        <w:t xml:space="preserve">(Μόνον τα γενικά και από την υποπαράγραφο 2.6.1. τα αναφερόμενα στην «Όξινη Βροχή»), </w:t>
      </w:r>
      <w:r>
        <w:rPr>
          <w:rFonts w:asciiTheme="majorHAnsi" w:hAnsiTheme="majorHAnsi" w:cs="Arial"/>
          <w:sz w:val="28"/>
        </w:rPr>
        <w:t xml:space="preserve">2.7 </w:t>
      </w:r>
      <w:r>
        <w:rPr>
          <w:rFonts w:asciiTheme="majorHAnsi" w:hAnsiTheme="majorHAnsi"/>
          <w:i/>
          <w:sz w:val="28"/>
        </w:rPr>
        <w:t>(Μόνον «Το φαινόμενο του θερμοκηπίου» και «Η ελάττωση του στρατοσφαιρικού όζοντος</w:t>
      </w:r>
      <w:r>
        <w:rPr>
          <w:rFonts w:asciiTheme="majorHAnsi" w:hAnsiTheme="majorHAnsi" w:cs="Arial"/>
          <w:sz w:val="28"/>
        </w:rPr>
        <w:t>») και 2.8.</w:t>
      </w:r>
      <w:r>
        <w:rPr>
          <w:rFonts w:asciiTheme="majorHAnsi" w:hAnsiTheme="majorHAnsi"/>
          <w:i/>
          <w:sz w:val="28"/>
        </w:rPr>
        <w:t xml:space="preserve"> </w:t>
      </w:r>
    </w:p>
    <w:p w:rsidR="00E55C85" w:rsidRDefault="00E55C85" w:rsidP="00E55C85">
      <w:pPr>
        <w:tabs>
          <w:tab w:val="left" w:pos="284"/>
        </w:tabs>
        <w:jc w:val="both"/>
        <w:rPr>
          <w:rFonts w:asciiTheme="majorHAnsi" w:hAnsiTheme="majorHAnsi" w:cs="Arial"/>
          <w:sz w:val="28"/>
          <w:u w:val="single"/>
        </w:rPr>
      </w:pPr>
      <w:r>
        <w:rPr>
          <w:rFonts w:asciiTheme="majorHAnsi" w:hAnsiTheme="majorHAnsi" w:cs="Arial"/>
          <w:b/>
          <w:sz w:val="28"/>
        </w:rPr>
        <w:t xml:space="preserve">Κεφάλαιο 4: Εδαφικοί Πόροι. </w:t>
      </w:r>
      <w:r>
        <w:rPr>
          <w:rFonts w:asciiTheme="majorHAnsi" w:hAnsiTheme="majorHAnsi" w:cs="Arial"/>
          <w:sz w:val="28"/>
        </w:rPr>
        <w:t xml:space="preserve">Παράγραφοι: 4.1, 4.2 </w:t>
      </w:r>
      <w:r>
        <w:rPr>
          <w:rFonts w:asciiTheme="majorHAnsi" w:hAnsiTheme="majorHAnsi" w:cs="Arial"/>
          <w:i/>
          <w:sz w:val="28"/>
        </w:rPr>
        <w:t xml:space="preserve">(Εξαιρείται στην υποπαράγραφο 4.2.1-Φυσικές εδαφικές ιδιότητες, </w:t>
      </w:r>
      <w:r>
        <w:rPr>
          <w:rFonts w:asciiTheme="majorHAnsi" w:hAnsiTheme="majorHAnsi"/>
          <w:i/>
          <w:sz w:val="28"/>
        </w:rPr>
        <w:t>από το σημείο «Δομή» μέχρι το τέλος της υποπαραγράφου. Επίσης</w:t>
      </w:r>
      <w:r>
        <w:rPr>
          <w:rFonts w:asciiTheme="majorHAnsi" w:hAnsiTheme="majorHAnsi" w:cs="Arial"/>
          <w:i/>
          <w:sz w:val="28"/>
        </w:rPr>
        <w:t>, εξαιρείται στην υποπαράγραφο 4.2.2-Χημικές ιδιότητες, η «Εναλλακτική ικανότητα»),</w:t>
      </w:r>
      <w:r>
        <w:rPr>
          <w:rFonts w:asciiTheme="majorHAnsi" w:hAnsiTheme="majorHAnsi" w:cs="Arial"/>
          <w:sz w:val="28"/>
        </w:rPr>
        <w:t xml:space="preserve"> 4.3 </w:t>
      </w:r>
      <w:r>
        <w:rPr>
          <w:rFonts w:asciiTheme="majorHAnsi" w:hAnsiTheme="majorHAnsi"/>
          <w:i/>
          <w:sz w:val="28"/>
        </w:rPr>
        <w:t>(Εξαιρούνται οι τέσσερις ομάδες των θρεπτικών στοιχείων)</w:t>
      </w:r>
      <w:r>
        <w:rPr>
          <w:rFonts w:asciiTheme="majorHAnsi" w:hAnsiTheme="majorHAnsi" w:cs="Arial"/>
          <w:sz w:val="28"/>
        </w:rPr>
        <w:t xml:space="preserve">, 4.4, 4.5 </w:t>
      </w:r>
      <w:r>
        <w:rPr>
          <w:rFonts w:asciiTheme="majorHAnsi" w:hAnsiTheme="majorHAnsi"/>
          <w:i/>
          <w:sz w:val="28"/>
        </w:rPr>
        <w:t>(Εξαιρούνται τα σχετικά με τον Τύπο χρησιμοποίησης γης-LUT),</w:t>
      </w:r>
      <w:r>
        <w:rPr>
          <w:rFonts w:asciiTheme="majorHAnsi" w:hAnsiTheme="majorHAnsi" w:cs="Arial"/>
          <w:sz w:val="28"/>
        </w:rPr>
        <w:t xml:space="preserve"> 4.7 </w:t>
      </w:r>
      <w:r>
        <w:rPr>
          <w:rFonts w:asciiTheme="majorHAnsi" w:hAnsiTheme="majorHAnsi"/>
          <w:i/>
          <w:sz w:val="28"/>
        </w:rPr>
        <w:t>(Εξαιρούνται τα σημεία:  «Τύποι επιφανειακής διάβρωσης», «Υποεπιφανειακή διάβρωση», «Τύποι υποεπιφανειακής διάβρωσης»),</w:t>
      </w:r>
      <w:r>
        <w:rPr>
          <w:rFonts w:asciiTheme="majorHAnsi" w:hAnsiTheme="majorHAnsi" w:cs="Arial"/>
          <w:sz w:val="28"/>
        </w:rPr>
        <w:t xml:space="preserve"> 4.11.1, 4.11.12  και 4.12.1. </w:t>
      </w:r>
    </w:p>
    <w:p w:rsidR="00E55C85" w:rsidRDefault="00E55C85" w:rsidP="00E55C85">
      <w:pPr>
        <w:tabs>
          <w:tab w:val="left" w:pos="284"/>
        </w:tabs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 w:cs="Arial"/>
          <w:b/>
          <w:sz w:val="28"/>
        </w:rPr>
        <w:t xml:space="preserve">Κεφάλαιο 5: Υδατικοί Πόροι. </w:t>
      </w:r>
      <w:r>
        <w:rPr>
          <w:rFonts w:asciiTheme="majorHAnsi" w:hAnsiTheme="majorHAnsi" w:cs="Arial"/>
          <w:sz w:val="28"/>
        </w:rPr>
        <w:t xml:space="preserve">Παράγραφοι: 5.1, 5.2, 5.3, 5.4, 5.6 </w:t>
      </w:r>
      <w:r>
        <w:rPr>
          <w:rFonts w:asciiTheme="majorHAnsi" w:hAnsiTheme="majorHAnsi"/>
          <w:i/>
          <w:sz w:val="28"/>
        </w:rPr>
        <w:t>(Εξαιρείται στην παράγραφο 5.6.1-Γεωργία, από το σημείο «Οι ανάγκες των καλλιεργειών σε νερό» μέχρι το τέλος της υποπαραγράφου) και</w:t>
      </w:r>
      <w:r>
        <w:rPr>
          <w:rFonts w:asciiTheme="majorHAnsi" w:hAnsiTheme="majorHAnsi" w:cs="Arial"/>
          <w:sz w:val="28"/>
        </w:rPr>
        <w:t xml:space="preserve"> 5.7 </w:t>
      </w:r>
      <w:r>
        <w:rPr>
          <w:rFonts w:asciiTheme="majorHAnsi" w:hAnsiTheme="majorHAnsi"/>
          <w:i/>
          <w:sz w:val="28"/>
        </w:rPr>
        <w:t>(Εξαιρείται στην παράγραφο 5.7.1-Κατηγορίες ρυπαντών, από το σημείο «Παθογόνοι οργανισμοί» μέχρι το τέλος της υποπαραγράφου).</w:t>
      </w:r>
    </w:p>
    <w:p w:rsidR="00E55C85" w:rsidRDefault="00E55C85" w:rsidP="00E55C85">
      <w:pPr>
        <w:shd w:val="clear" w:color="auto" w:fill="FFFFFF" w:themeFill="background1"/>
        <w:tabs>
          <w:tab w:val="left" w:pos="1290"/>
        </w:tabs>
        <w:rPr>
          <w:rFonts w:asciiTheme="majorHAnsi" w:eastAsia="Calibri" w:hAnsiTheme="majorHAnsi" w:cs="Times New Roman"/>
          <w:sz w:val="4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217170</wp:posOffset>
            </wp:positionV>
            <wp:extent cx="5486400" cy="1857375"/>
            <wp:effectExtent l="19050" t="0" r="0" b="0"/>
            <wp:wrapSquare wrapText="bothSides"/>
            <wp:docPr id="2" name="Εικόνα 16" descr="pictur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picture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C85" w:rsidRDefault="00E55C85" w:rsidP="00E55C85">
      <w:pPr>
        <w:ind w:firstLine="720"/>
        <w:rPr>
          <w:rFonts w:asciiTheme="majorHAnsi" w:eastAsia="Calibri" w:hAnsiTheme="majorHAnsi" w:cs="Times New Roman"/>
          <w:sz w:val="40"/>
          <w:szCs w:val="28"/>
        </w:rPr>
      </w:pPr>
    </w:p>
    <w:p w:rsidR="00E55C85" w:rsidRDefault="00E55C85" w:rsidP="00E55C85">
      <w:pPr>
        <w:rPr>
          <w:rFonts w:asciiTheme="majorHAnsi" w:eastAsia="Calibri" w:hAnsiTheme="majorHAnsi" w:cs="Times New Roman"/>
          <w:sz w:val="40"/>
          <w:szCs w:val="28"/>
        </w:rPr>
      </w:pPr>
    </w:p>
    <w:p w:rsidR="00E55C85" w:rsidRDefault="00E55C85" w:rsidP="00E55C85">
      <w:pPr>
        <w:rPr>
          <w:rFonts w:asciiTheme="majorHAnsi" w:eastAsia="Calibri" w:hAnsiTheme="majorHAnsi" w:cs="Times New Roman"/>
          <w:sz w:val="40"/>
          <w:szCs w:val="28"/>
        </w:rPr>
      </w:pPr>
    </w:p>
    <w:p w:rsidR="00E55C85" w:rsidRDefault="00E55C85" w:rsidP="00E55C85">
      <w:pPr>
        <w:rPr>
          <w:rFonts w:asciiTheme="majorHAnsi" w:eastAsia="Calibri" w:hAnsiTheme="majorHAnsi" w:cs="Times New Roman"/>
          <w:sz w:val="40"/>
          <w:szCs w:val="28"/>
        </w:rPr>
      </w:pPr>
    </w:p>
    <w:p w:rsidR="00E55C85" w:rsidRDefault="00E55C85" w:rsidP="00E55C85">
      <w:pPr>
        <w:rPr>
          <w:rFonts w:asciiTheme="majorHAnsi" w:eastAsia="Calibri" w:hAnsiTheme="majorHAnsi" w:cs="Times New Roman"/>
          <w:sz w:val="40"/>
          <w:szCs w:val="28"/>
        </w:rPr>
      </w:pPr>
    </w:p>
    <w:p w:rsidR="00E55C85" w:rsidRDefault="00E55C85" w:rsidP="00E55C8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οι</w:t>
      </w:r>
      <w:r>
        <w:rPr>
          <w:rFonts w:asciiTheme="majorHAnsi" w:hAnsiTheme="majorHAnsi"/>
          <w:sz w:val="24"/>
          <w:szCs w:val="24"/>
        </w:rPr>
        <w:t xml:space="preserve">  καθηγήτριες:  </w:t>
      </w:r>
    </w:p>
    <w:p w:rsidR="00E55C85" w:rsidRDefault="00E55C85" w:rsidP="00E55C8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Σοφία Ζώη </w:t>
      </w:r>
    </w:p>
    <w:p w:rsidR="00E55C85" w:rsidRDefault="00E55C85" w:rsidP="00E55C85">
      <w:pPr>
        <w:tabs>
          <w:tab w:val="left" w:pos="8505"/>
        </w:tabs>
        <w:rPr>
          <w:rFonts w:asciiTheme="majorHAnsi" w:eastAsia="Calibri" w:hAnsiTheme="majorHAnsi" w:cs="Times New Roman"/>
          <w:sz w:val="40"/>
          <w:szCs w:val="28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Στέλλα Χριστοπούλου    </w:t>
      </w:r>
    </w:p>
    <w:p w:rsidR="00FE4770" w:rsidRDefault="00FE4770"/>
    <w:sectPr w:rsidR="00FE4770" w:rsidSect="00FE4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C85"/>
    <w:rsid w:val="004F3546"/>
    <w:rsid w:val="00583D46"/>
    <w:rsid w:val="00990AB2"/>
    <w:rsid w:val="00E55C85"/>
    <w:rsid w:val="00FE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2017-04-28T05:13:00Z</dcterms:created>
  <dcterms:modified xsi:type="dcterms:W3CDTF">2017-04-28T05:14:00Z</dcterms:modified>
</cp:coreProperties>
</file>